
<file path=[Content_Types].xml><?xml version="1.0" encoding="utf-8"?>
<Types xmlns="http://schemas.openxmlformats.org/package/2006/content-types">
  <Default ContentType="image/png" Extension="pn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C4A" w:rsidRDefault="00AA4C4A" w:rsidP="00AA4C4A"/>
    <w:tbl>
      <w:tblPr>
        <w:tblStyle w:val="Grilledutableau"/>
        <w:tblW w:w="9335" w:type="dxa"/>
        <w:tblLook w:val="04A0" w:firstRow="1" w:lastRow="0" w:firstColumn="1" w:lastColumn="0" w:noHBand="0" w:noVBand="1"/>
      </w:tblPr>
      <w:tblGrid>
        <w:gridCol w:w="2959"/>
        <w:gridCol w:w="6376"/>
      </w:tblGrid>
      <w:tr w:rsidR="009E3E5D" w:rsidRPr="009E3E5D" w:rsidTr="009E3E5D">
        <w:trPr>
          <w:trHeight w:val="834"/>
        </w:trPr>
        <w:tc>
          <w:tcPr>
            <w:tcW w:w="9335" w:type="dxa"/>
            <w:gridSpan w:val="2"/>
            <w:shd w:val="clear" w:color="auto" w:fill="9CC2E5" w:themeFill="accent1" w:themeFillTint="99"/>
            <w:vAlign w:val="center"/>
          </w:tcPr>
          <w:p w:rsidR="009E3E5D" w:rsidRPr="009E3E5D" w:rsidRDefault="009E3E5D" w:rsidP="009E3E5D">
            <w:pPr>
              <w:jc w:val="center"/>
              <w:rPr>
                <w:b/>
                <w:bCs/>
                <w:sz w:val="28"/>
                <w:szCs w:val="28"/>
              </w:rPr>
            </w:pPr>
            <w:r w:rsidRPr="009E3E5D">
              <w:rPr>
                <w:b/>
                <w:bCs/>
                <w:sz w:val="28"/>
                <w:szCs w:val="28"/>
              </w:rPr>
              <w:t>Note technique de fin d’audit</w:t>
            </w:r>
          </w:p>
        </w:tc>
      </w:tr>
      <w:tr w:rsidR="007924BE" w:rsidRPr="009E3E5D" w:rsidTr="009E3E5D">
        <w:trPr>
          <w:trHeight w:val="415"/>
        </w:trPr>
        <w:tc>
          <w:tcPr>
            <w:tcW w:w="2959" w:type="dxa"/>
            <w:shd w:val="clear" w:color="auto" w:fill="D9D9D9" w:themeFill="background1" w:themeFillShade="D9"/>
            <w:vAlign w:val="center"/>
          </w:tcPr>
          <w:p w:rsidR="007924BE" w:rsidRPr="009E3E5D" w:rsidRDefault="007924BE" w:rsidP="007924BE">
            <w:pPr>
              <w:rPr>
                <w:sz w:val="28"/>
                <w:szCs w:val="28"/>
              </w:rPr>
            </w:pPr>
            <w:r>
              <w:rPr>
                <w:sz w:val="28"/>
                <w:szCs w:val="28"/>
              </w:rPr>
              <w:t>Magasin</w:t>
            </w:r>
          </w:p>
        </w:tc>
        <w:tc>
          <w:tcPr>
            <w:tcW w:w="6376" w:type="dxa"/>
          </w:tcPr>
          <w:p w:rsidR="007924BE" w:rsidRPr="009E3E5D" w:rsidRDefault="007924BE" w:rsidP="007924BE">
            <w:pPr>
              <w:rPr>
                <w:sz w:val="28"/>
                <w:szCs w:val="28"/>
              </w:rPr>
            </w:pPr>
            <w:r>
              <w:rPr>
                <w:sz w:val="28"/>
                <w:szCs w:val="28"/>
              </w:rPr>
              <w:t xml:space="preserve">CM el </w:t>
            </w:r>
            <w:proofErr w:type="spellStart"/>
            <w:r>
              <w:rPr>
                <w:sz w:val="28"/>
                <w:szCs w:val="28"/>
              </w:rPr>
              <w:t>Menzah</w:t>
            </w:r>
            <w:proofErr w:type="spellEnd"/>
            <w:r>
              <w:rPr>
                <w:sz w:val="28"/>
                <w:szCs w:val="28"/>
              </w:rPr>
              <w:t xml:space="preserve"> 9</w:t>
            </w:r>
          </w:p>
        </w:tc>
      </w:tr>
      <w:tr w:rsidR="007924BE" w:rsidRPr="009E3E5D" w:rsidTr="009E3E5D">
        <w:trPr>
          <w:trHeight w:val="392"/>
        </w:trPr>
        <w:tc>
          <w:tcPr>
            <w:tcW w:w="2959" w:type="dxa"/>
            <w:shd w:val="clear" w:color="auto" w:fill="D9D9D9" w:themeFill="background1" w:themeFillShade="D9"/>
            <w:vAlign w:val="center"/>
          </w:tcPr>
          <w:p w:rsidR="007924BE" w:rsidRPr="009E3E5D" w:rsidRDefault="007924BE" w:rsidP="007924BE">
            <w:pPr>
              <w:rPr>
                <w:sz w:val="28"/>
                <w:szCs w:val="28"/>
              </w:rPr>
            </w:pPr>
            <w:r>
              <w:rPr>
                <w:sz w:val="28"/>
                <w:szCs w:val="28"/>
              </w:rPr>
              <w:t>Date de l’audit</w:t>
            </w:r>
          </w:p>
        </w:tc>
        <w:tc>
          <w:tcPr>
            <w:tcW w:w="6376" w:type="dxa"/>
          </w:tcPr>
          <w:p w:rsidR="007924BE" w:rsidRPr="009E3E5D" w:rsidRDefault="007924BE" w:rsidP="007924BE">
            <w:pPr>
              <w:rPr>
                <w:sz w:val="28"/>
                <w:szCs w:val="28"/>
              </w:rPr>
            </w:pPr>
            <w:r>
              <w:rPr>
                <w:sz w:val="28"/>
                <w:szCs w:val="28"/>
              </w:rPr>
              <w:t>14/07/2017</w:t>
            </w:r>
          </w:p>
        </w:tc>
      </w:tr>
      <w:tr w:rsidR="007924BE" w:rsidRPr="009E3E5D" w:rsidTr="0008488C">
        <w:trPr>
          <w:trHeight w:val="1007"/>
        </w:trPr>
        <w:tc>
          <w:tcPr>
            <w:tcW w:w="2959" w:type="dxa"/>
            <w:shd w:val="clear" w:color="auto" w:fill="D9D9D9" w:themeFill="background1" w:themeFillShade="D9"/>
            <w:vAlign w:val="center"/>
          </w:tcPr>
          <w:p w:rsidR="007924BE" w:rsidRPr="009E3E5D" w:rsidRDefault="007924BE" w:rsidP="007924BE">
            <w:pPr>
              <w:rPr>
                <w:sz w:val="28"/>
                <w:szCs w:val="28"/>
              </w:rPr>
            </w:pPr>
            <w:r w:rsidRPr="009E3E5D">
              <w:rPr>
                <w:sz w:val="28"/>
                <w:szCs w:val="28"/>
              </w:rPr>
              <w:t>Propreté du back office</w:t>
            </w:r>
          </w:p>
        </w:tc>
        <w:tc>
          <w:tcPr>
            <w:tcW w:w="6376" w:type="dxa"/>
          </w:tcPr>
          <w:p w:rsidR="007924BE" w:rsidRPr="009E3E5D" w:rsidRDefault="007924BE" w:rsidP="007924BE">
            <w:pPr>
              <w:rPr>
                <w:sz w:val="28"/>
                <w:szCs w:val="28"/>
              </w:rPr>
            </w:pPr>
            <w:r>
              <w:rPr>
                <w:sz w:val="28"/>
                <w:szCs w:val="28"/>
              </w:rPr>
              <w:t>Un nettoyage global est nécessaire en raison de l’état d’usure avancé des structures (réserve, boucherie, poissonnerie, monte charges…)</w:t>
            </w:r>
          </w:p>
        </w:tc>
      </w:tr>
      <w:tr w:rsidR="007924BE" w:rsidRPr="009E3E5D" w:rsidTr="002B5F5A">
        <w:trPr>
          <w:trHeight w:val="833"/>
        </w:trPr>
        <w:tc>
          <w:tcPr>
            <w:tcW w:w="2959" w:type="dxa"/>
            <w:shd w:val="clear" w:color="auto" w:fill="D9D9D9" w:themeFill="background1" w:themeFillShade="D9"/>
            <w:vAlign w:val="center"/>
          </w:tcPr>
          <w:p w:rsidR="007924BE" w:rsidRPr="009E3E5D" w:rsidRDefault="007924BE" w:rsidP="007924BE">
            <w:pPr>
              <w:rPr>
                <w:sz w:val="28"/>
                <w:szCs w:val="28"/>
              </w:rPr>
            </w:pPr>
            <w:r w:rsidRPr="009E3E5D">
              <w:rPr>
                <w:sz w:val="28"/>
                <w:szCs w:val="28"/>
              </w:rPr>
              <w:t>Propreté du front office</w:t>
            </w:r>
          </w:p>
        </w:tc>
        <w:tc>
          <w:tcPr>
            <w:tcW w:w="6376" w:type="dxa"/>
          </w:tcPr>
          <w:p w:rsidR="007924BE" w:rsidRDefault="007924BE" w:rsidP="007924BE">
            <w:pPr>
              <w:rPr>
                <w:sz w:val="28"/>
                <w:szCs w:val="28"/>
              </w:rPr>
            </w:pPr>
            <w:r>
              <w:rPr>
                <w:sz w:val="28"/>
                <w:szCs w:val="28"/>
              </w:rPr>
              <w:t xml:space="preserve">Le meuble des volailles </w:t>
            </w:r>
            <w:proofErr w:type="spellStart"/>
            <w:r>
              <w:rPr>
                <w:sz w:val="28"/>
                <w:szCs w:val="28"/>
              </w:rPr>
              <w:t>Chahia</w:t>
            </w:r>
            <w:proofErr w:type="spellEnd"/>
            <w:r>
              <w:rPr>
                <w:sz w:val="28"/>
                <w:szCs w:val="28"/>
              </w:rPr>
              <w:t xml:space="preserve"> et des charcuteries (en panne) présentaient un état d’usure avancé, le nettoyage est difficile.</w:t>
            </w:r>
          </w:p>
          <w:p w:rsidR="007924BE" w:rsidRPr="009E3E5D" w:rsidRDefault="007924BE" w:rsidP="007924BE">
            <w:pPr>
              <w:rPr>
                <w:sz w:val="28"/>
                <w:szCs w:val="28"/>
              </w:rPr>
            </w:pPr>
            <w:r>
              <w:rPr>
                <w:sz w:val="28"/>
                <w:szCs w:val="28"/>
              </w:rPr>
              <w:t>Nettoyage nécessaire en dessous des gondoles dans les rayons non alimentaires</w:t>
            </w:r>
          </w:p>
        </w:tc>
      </w:tr>
      <w:tr w:rsidR="007924BE" w:rsidRPr="009E3E5D" w:rsidTr="00E77AEA">
        <w:trPr>
          <w:trHeight w:val="476"/>
        </w:trPr>
        <w:tc>
          <w:tcPr>
            <w:tcW w:w="2959" w:type="dxa"/>
            <w:shd w:val="clear" w:color="auto" w:fill="D9D9D9" w:themeFill="background1" w:themeFillShade="D9"/>
            <w:vAlign w:val="center"/>
          </w:tcPr>
          <w:p w:rsidR="007924BE" w:rsidRPr="009E3E5D" w:rsidRDefault="007924BE" w:rsidP="007924BE">
            <w:pPr>
              <w:rPr>
                <w:sz w:val="28"/>
                <w:szCs w:val="28"/>
              </w:rPr>
            </w:pPr>
            <w:r w:rsidRPr="009E3E5D">
              <w:rPr>
                <w:sz w:val="28"/>
                <w:szCs w:val="28"/>
              </w:rPr>
              <w:t>Respect de la charte vestimentaire</w:t>
            </w:r>
          </w:p>
        </w:tc>
        <w:tc>
          <w:tcPr>
            <w:tcW w:w="6376" w:type="dxa"/>
          </w:tcPr>
          <w:p w:rsidR="007924BE" w:rsidRPr="009E3E5D" w:rsidRDefault="007924BE" w:rsidP="007924BE">
            <w:pPr>
              <w:rPr>
                <w:sz w:val="28"/>
                <w:szCs w:val="28"/>
              </w:rPr>
            </w:pPr>
            <w:r>
              <w:rPr>
                <w:sz w:val="28"/>
                <w:szCs w:val="28"/>
              </w:rPr>
              <w:t>Absence de badges et de cravates.</w:t>
            </w:r>
          </w:p>
        </w:tc>
      </w:tr>
      <w:tr w:rsidR="007924BE" w:rsidRPr="009E3E5D" w:rsidTr="00E53132">
        <w:trPr>
          <w:trHeight w:val="1446"/>
        </w:trPr>
        <w:tc>
          <w:tcPr>
            <w:tcW w:w="2959" w:type="dxa"/>
            <w:shd w:val="clear" w:color="auto" w:fill="D9D9D9" w:themeFill="background1" w:themeFillShade="D9"/>
            <w:vAlign w:val="center"/>
          </w:tcPr>
          <w:p w:rsidR="007924BE" w:rsidRPr="009E3E5D" w:rsidRDefault="007924BE" w:rsidP="007924BE">
            <w:pPr>
              <w:rPr>
                <w:sz w:val="28"/>
                <w:szCs w:val="28"/>
              </w:rPr>
            </w:pPr>
            <w:r w:rsidRPr="009E3E5D">
              <w:rPr>
                <w:sz w:val="28"/>
                <w:szCs w:val="28"/>
              </w:rPr>
              <w:t>Infrastructure (revêtements et agencement des locaux)</w:t>
            </w:r>
          </w:p>
        </w:tc>
        <w:tc>
          <w:tcPr>
            <w:tcW w:w="6376" w:type="dxa"/>
          </w:tcPr>
          <w:p w:rsidR="007924BE" w:rsidRDefault="007924BE" w:rsidP="007924BE">
            <w:pPr>
              <w:jc w:val="both"/>
              <w:rPr>
                <w:sz w:val="28"/>
                <w:szCs w:val="28"/>
              </w:rPr>
            </w:pPr>
            <w:r w:rsidRPr="00B1401A">
              <w:rPr>
                <w:sz w:val="28"/>
                <w:szCs w:val="28"/>
              </w:rPr>
              <w:t xml:space="preserve">Des crevasses ont été constatées dans tous les secteurs </w:t>
            </w:r>
            <w:r>
              <w:rPr>
                <w:sz w:val="28"/>
                <w:szCs w:val="28"/>
              </w:rPr>
              <w:t>sur le sol et sur les murs.</w:t>
            </w:r>
          </w:p>
          <w:p w:rsidR="007924BE" w:rsidRPr="00B1401A" w:rsidRDefault="007924BE" w:rsidP="007924BE">
            <w:pPr>
              <w:jc w:val="both"/>
              <w:rPr>
                <w:sz w:val="28"/>
                <w:szCs w:val="28"/>
              </w:rPr>
            </w:pPr>
            <w:r>
              <w:rPr>
                <w:sz w:val="28"/>
                <w:szCs w:val="28"/>
              </w:rPr>
              <w:t>Les revêtements sont écaillés et rouillés à plusieurs niveaux (boucheries, plonges, poissonnerie, meubles,…) Les jointures entre le sol et les revêtements des chambres froides sont usées. Les caches du meuble des produits de la mer surgelés sont démontés par niveaux</w:t>
            </w:r>
          </w:p>
          <w:p w:rsidR="007924BE" w:rsidRPr="00C57789" w:rsidRDefault="007924BE" w:rsidP="007924BE">
            <w:pPr>
              <w:jc w:val="both"/>
              <w:rPr>
                <w:sz w:val="28"/>
                <w:szCs w:val="28"/>
              </w:rPr>
            </w:pPr>
            <w:r>
              <w:rPr>
                <w:sz w:val="28"/>
                <w:szCs w:val="28"/>
              </w:rPr>
              <w:t>Absence de local pour les déchets. Un secteur momentané a été prévu.</w:t>
            </w:r>
          </w:p>
        </w:tc>
      </w:tr>
      <w:tr w:rsidR="007924BE" w:rsidRPr="009E3E5D" w:rsidTr="009E3E5D">
        <w:trPr>
          <w:trHeight w:val="1732"/>
        </w:trPr>
        <w:tc>
          <w:tcPr>
            <w:tcW w:w="2959" w:type="dxa"/>
            <w:shd w:val="clear" w:color="auto" w:fill="D9D9D9" w:themeFill="background1" w:themeFillShade="D9"/>
          </w:tcPr>
          <w:p w:rsidR="007924BE" w:rsidRPr="009E3E5D" w:rsidRDefault="007924BE" w:rsidP="007924BE">
            <w:pPr>
              <w:rPr>
                <w:sz w:val="28"/>
                <w:szCs w:val="28"/>
              </w:rPr>
            </w:pPr>
            <w:r w:rsidRPr="009E3E5D">
              <w:rPr>
                <w:sz w:val="28"/>
                <w:szCs w:val="28"/>
              </w:rPr>
              <w:t>Autres points importants</w:t>
            </w:r>
          </w:p>
        </w:tc>
        <w:tc>
          <w:tcPr>
            <w:tcW w:w="6376" w:type="dxa"/>
          </w:tcPr>
          <w:p w:rsidR="007924BE" w:rsidRDefault="007924BE" w:rsidP="007924BE">
            <w:pPr>
              <w:jc w:val="both"/>
              <w:rPr>
                <w:sz w:val="28"/>
                <w:szCs w:val="28"/>
              </w:rPr>
            </w:pPr>
            <w:r>
              <w:rPr>
                <w:sz w:val="28"/>
                <w:szCs w:val="28"/>
              </w:rPr>
              <w:t>La traçabilité est mal remplie dans la boucherie.</w:t>
            </w:r>
          </w:p>
          <w:p w:rsidR="007924BE" w:rsidRDefault="007924BE" w:rsidP="007924BE">
            <w:pPr>
              <w:jc w:val="both"/>
              <w:rPr>
                <w:sz w:val="28"/>
                <w:szCs w:val="28"/>
              </w:rPr>
            </w:pPr>
            <w:r>
              <w:rPr>
                <w:sz w:val="28"/>
                <w:szCs w:val="28"/>
              </w:rPr>
              <w:t>Dépassement des dates de retrait pour certains produits de la boucherie. Absence de zone casse et de poubelle pour ce rayon</w:t>
            </w:r>
          </w:p>
          <w:p w:rsidR="007924BE" w:rsidRDefault="007924BE" w:rsidP="007924BE">
            <w:pPr>
              <w:jc w:val="both"/>
              <w:rPr>
                <w:sz w:val="28"/>
                <w:szCs w:val="28"/>
              </w:rPr>
            </w:pPr>
            <w:r>
              <w:rPr>
                <w:sz w:val="28"/>
                <w:szCs w:val="28"/>
              </w:rPr>
              <w:t>Absence de zone de retrait.</w:t>
            </w:r>
          </w:p>
          <w:p w:rsidR="007924BE" w:rsidRDefault="007924BE" w:rsidP="007924BE">
            <w:pPr>
              <w:jc w:val="both"/>
              <w:rPr>
                <w:sz w:val="28"/>
                <w:szCs w:val="28"/>
              </w:rPr>
            </w:pPr>
            <w:r>
              <w:rPr>
                <w:sz w:val="28"/>
                <w:szCs w:val="28"/>
              </w:rPr>
              <w:t>Les étals et le meuble des surgelés de la poissonnerie sont sales</w:t>
            </w:r>
          </w:p>
          <w:p w:rsidR="007924BE" w:rsidRDefault="007924BE" w:rsidP="007924BE">
            <w:pPr>
              <w:jc w:val="both"/>
              <w:rPr>
                <w:sz w:val="28"/>
                <w:szCs w:val="28"/>
              </w:rPr>
            </w:pPr>
            <w:proofErr w:type="spellStart"/>
            <w:r>
              <w:rPr>
                <w:sz w:val="28"/>
                <w:szCs w:val="28"/>
              </w:rPr>
              <w:t>Réemballages</w:t>
            </w:r>
            <w:proofErr w:type="spellEnd"/>
            <w:r>
              <w:rPr>
                <w:sz w:val="28"/>
                <w:szCs w:val="28"/>
              </w:rPr>
              <w:t xml:space="preserve"> des fromages</w:t>
            </w:r>
          </w:p>
          <w:p w:rsidR="007924BE" w:rsidRPr="009E3E5D" w:rsidRDefault="007924BE" w:rsidP="007924BE">
            <w:pPr>
              <w:jc w:val="both"/>
              <w:rPr>
                <w:sz w:val="28"/>
                <w:szCs w:val="28"/>
              </w:rPr>
            </w:pPr>
            <w:r>
              <w:rPr>
                <w:sz w:val="28"/>
                <w:szCs w:val="28"/>
              </w:rPr>
              <w:t>Double étiquetage des DF et des DLC dans la pâtisserie</w:t>
            </w:r>
          </w:p>
        </w:tc>
      </w:tr>
    </w:tbl>
    <w:p w:rsidR="009E3E5D" w:rsidRDefault="009E3E5D" w:rsidP="00AA4C4A"/>
    <w:tbl>
      <w:tblPr>
        <w:tblStyle w:val="Grilledutableau"/>
        <w:tblW w:w="10370" w:type="dxa"/>
        <w:jc w:val="center"/>
        <w:tblLook w:val="04A0" w:firstRow="1" w:lastRow="0" w:firstColumn="1" w:lastColumn="0" w:noHBand="0" w:noVBand="1"/>
      </w:tblPr>
      <w:tblGrid>
        <w:gridCol w:w="1271"/>
        <w:gridCol w:w="652"/>
        <w:gridCol w:w="650"/>
        <w:gridCol w:w="651"/>
        <w:gridCol w:w="649"/>
        <w:gridCol w:w="651"/>
        <w:gridCol w:w="649"/>
        <w:gridCol w:w="651"/>
        <w:gridCol w:w="649"/>
        <w:gridCol w:w="652"/>
        <w:gridCol w:w="649"/>
        <w:gridCol w:w="649"/>
        <w:gridCol w:w="649"/>
        <w:gridCol w:w="649"/>
        <w:gridCol w:w="649"/>
      </w:tblGrid>
      <w:tr w:rsidR="002235DE" w:rsidRPr="009E3E5D" w:rsidTr="002235DE">
        <w:trPr>
          <w:jc w:val="center"/>
        </w:trPr>
        <w:tc>
          <w:tcPr>
            <w:tcW w:w="1271" w:type="dxa"/>
            <w:shd w:val="clear" w:color="auto" w:fill="D9D9D9" w:themeFill="background1" w:themeFillShade="D9"/>
          </w:tcPr>
          <w:p w:rsidR="002235DE" w:rsidRPr="009E3E5D" w:rsidRDefault="002235DE" w:rsidP="009E3E5D">
            <w:pPr>
              <w:rPr>
                <w:b/>
                <w:bCs/>
              </w:rPr>
            </w:pPr>
            <w:r w:rsidRPr="009E3E5D">
              <w:rPr>
                <w:b/>
                <w:bCs/>
              </w:rPr>
              <w:t>Auditeur</w:t>
            </w:r>
            <w:r>
              <w:rPr>
                <w:b/>
                <w:bCs/>
              </w:rPr>
              <w:t>(s)</w:t>
            </w:r>
          </w:p>
          <w:p w:rsidR="002235DE" w:rsidRPr="009E3E5D" w:rsidRDefault="002235DE" w:rsidP="009E3E5D">
            <w:pPr>
              <w:rPr>
                <w:b/>
                <w:bCs/>
              </w:rPr>
            </w:pPr>
            <w:r w:rsidRPr="009E3E5D">
              <w:rPr>
                <w:b/>
                <w:bCs/>
              </w:rPr>
              <w:t>(cocher)</w:t>
            </w:r>
          </w:p>
        </w:tc>
        <w:tc>
          <w:tcPr>
            <w:tcW w:w="652" w:type="dxa"/>
            <w:shd w:val="clear" w:color="auto" w:fill="D9D9D9" w:themeFill="background1" w:themeFillShade="D9"/>
            <w:vAlign w:val="center"/>
          </w:tcPr>
          <w:p w:rsidR="002235DE" w:rsidRPr="009E3E5D" w:rsidRDefault="002235DE" w:rsidP="009E3E5D">
            <w:pPr>
              <w:rPr>
                <w:b/>
                <w:bCs/>
              </w:rPr>
            </w:pPr>
            <w:r w:rsidRPr="009E3E5D">
              <w:rPr>
                <w:b/>
                <w:bCs/>
              </w:rPr>
              <w:t>MC</w:t>
            </w:r>
          </w:p>
        </w:tc>
        <w:tc>
          <w:tcPr>
            <w:tcW w:w="650" w:type="dxa"/>
            <w:vAlign w:val="center"/>
          </w:tcPr>
          <w:p w:rsidR="002235DE" w:rsidRPr="009E3E5D" w:rsidRDefault="002235DE" w:rsidP="009E3E5D">
            <w:pPr>
              <w:rPr>
                <w:b/>
                <w:bCs/>
              </w:rPr>
            </w:pP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MJ</w:t>
            </w:r>
          </w:p>
        </w:tc>
        <w:tc>
          <w:tcPr>
            <w:tcW w:w="649" w:type="dxa"/>
            <w:vAlign w:val="center"/>
          </w:tcPr>
          <w:p w:rsidR="002235DE" w:rsidRPr="009E3E5D" w:rsidRDefault="002235DE" w:rsidP="009E3E5D">
            <w:pPr>
              <w:rPr>
                <w:b/>
                <w:bCs/>
              </w:rPr>
            </w:pP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MH</w:t>
            </w:r>
          </w:p>
        </w:tc>
        <w:tc>
          <w:tcPr>
            <w:tcW w:w="649" w:type="dxa"/>
            <w:vAlign w:val="center"/>
          </w:tcPr>
          <w:p w:rsidR="002235DE" w:rsidRPr="009E3E5D" w:rsidRDefault="007924BE" w:rsidP="009E3E5D">
            <w:pPr>
              <w:rPr>
                <w:b/>
                <w:bCs/>
              </w:rPr>
            </w:pPr>
            <w:r>
              <w:rPr>
                <w:b/>
                <w:bCs/>
              </w:rPr>
              <w:t>X</w:t>
            </w:r>
          </w:p>
        </w:tc>
        <w:tc>
          <w:tcPr>
            <w:tcW w:w="651" w:type="dxa"/>
            <w:shd w:val="clear" w:color="auto" w:fill="D9D9D9" w:themeFill="background1" w:themeFillShade="D9"/>
            <w:vAlign w:val="center"/>
          </w:tcPr>
          <w:p w:rsidR="002235DE" w:rsidRPr="009E3E5D" w:rsidRDefault="002235DE" w:rsidP="009E3E5D">
            <w:pPr>
              <w:rPr>
                <w:b/>
                <w:bCs/>
              </w:rPr>
            </w:pPr>
            <w:r w:rsidRPr="009E3E5D">
              <w:rPr>
                <w:b/>
                <w:bCs/>
              </w:rPr>
              <w:t xml:space="preserve"> </w:t>
            </w:r>
            <w:r>
              <w:rPr>
                <w:b/>
                <w:bCs/>
              </w:rPr>
              <w:t>HK</w:t>
            </w:r>
          </w:p>
        </w:tc>
        <w:tc>
          <w:tcPr>
            <w:tcW w:w="649" w:type="dxa"/>
            <w:vAlign w:val="center"/>
          </w:tcPr>
          <w:p w:rsidR="002235DE" w:rsidRPr="009E3E5D" w:rsidRDefault="002235DE" w:rsidP="009E3E5D">
            <w:pPr>
              <w:rPr>
                <w:b/>
                <w:bCs/>
              </w:rPr>
            </w:pPr>
          </w:p>
        </w:tc>
        <w:tc>
          <w:tcPr>
            <w:tcW w:w="652" w:type="dxa"/>
            <w:shd w:val="clear" w:color="auto" w:fill="D9D9D9" w:themeFill="background1" w:themeFillShade="D9"/>
            <w:vAlign w:val="center"/>
          </w:tcPr>
          <w:p w:rsidR="002235DE" w:rsidRPr="009E3E5D" w:rsidRDefault="002235DE" w:rsidP="00E043A4">
            <w:pPr>
              <w:jc w:val="center"/>
              <w:rPr>
                <w:b/>
                <w:bCs/>
              </w:rPr>
            </w:pPr>
            <w:r>
              <w:rPr>
                <w:b/>
                <w:bCs/>
              </w:rPr>
              <w:t>HEK</w:t>
            </w:r>
          </w:p>
        </w:tc>
        <w:tc>
          <w:tcPr>
            <w:tcW w:w="649" w:type="dxa"/>
          </w:tcPr>
          <w:p w:rsidR="002235DE" w:rsidRPr="009E3E5D" w:rsidRDefault="002235DE" w:rsidP="009E3E5D">
            <w:pPr>
              <w:rPr>
                <w:b/>
                <w:bCs/>
              </w:rPr>
            </w:pPr>
          </w:p>
        </w:tc>
        <w:tc>
          <w:tcPr>
            <w:tcW w:w="649" w:type="dxa"/>
            <w:shd w:val="clear" w:color="auto" w:fill="D9D9D9" w:themeFill="background1" w:themeFillShade="D9"/>
            <w:vAlign w:val="center"/>
          </w:tcPr>
          <w:p w:rsidR="002235DE" w:rsidRPr="009E3E5D" w:rsidRDefault="00E84C34" w:rsidP="002235DE">
            <w:pPr>
              <w:jc w:val="center"/>
              <w:rPr>
                <w:b/>
                <w:bCs/>
              </w:rPr>
            </w:pPr>
            <w:r>
              <w:rPr>
                <w:b/>
                <w:bCs/>
              </w:rPr>
              <w:t>SS</w:t>
            </w:r>
          </w:p>
        </w:tc>
        <w:tc>
          <w:tcPr>
            <w:tcW w:w="649" w:type="dxa"/>
            <w:vAlign w:val="center"/>
          </w:tcPr>
          <w:p w:rsidR="002235DE" w:rsidRPr="009E3E5D" w:rsidRDefault="002235DE" w:rsidP="002235DE">
            <w:pPr>
              <w:jc w:val="center"/>
              <w:rPr>
                <w:b/>
                <w:bCs/>
              </w:rPr>
            </w:pPr>
          </w:p>
        </w:tc>
        <w:tc>
          <w:tcPr>
            <w:tcW w:w="649" w:type="dxa"/>
            <w:shd w:val="clear" w:color="auto" w:fill="D9D9D9" w:themeFill="background1" w:themeFillShade="D9"/>
            <w:vAlign w:val="center"/>
          </w:tcPr>
          <w:p w:rsidR="002235DE" w:rsidRPr="009E3E5D" w:rsidRDefault="002235DE" w:rsidP="002235DE">
            <w:pPr>
              <w:jc w:val="center"/>
              <w:rPr>
                <w:b/>
                <w:bCs/>
              </w:rPr>
            </w:pPr>
            <w:r>
              <w:rPr>
                <w:b/>
                <w:bCs/>
              </w:rPr>
              <w:t>BH</w:t>
            </w:r>
          </w:p>
        </w:tc>
        <w:tc>
          <w:tcPr>
            <w:tcW w:w="649" w:type="dxa"/>
            <w:vAlign w:val="center"/>
          </w:tcPr>
          <w:p w:rsidR="002235DE" w:rsidRPr="009E3E5D" w:rsidRDefault="007924BE" w:rsidP="002235DE">
            <w:pPr>
              <w:jc w:val="center"/>
              <w:rPr>
                <w:b/>
                <w:bCs/>
              </w:rPr>
            </w:pPr>
            <w:r>
              <w:rPr>
                <w:b/>
                <w:bCs/>
              </w:rPr>
              <w:t>X</w:t>
            </w:r>
            <w:bookmarkStart w:id="0" w:name="_GoBack"/>
            <w:bookmarkEnd w:id="0"/>
          </w:p>
        </w:tc>
      </w:tr>
    </w:tbl>
    <w:p w:rsidR="009E3E5D" w:rsidRDefault="009E3E5D" w:rsidP="009E3E5D">
      <w:pPr>
        <w:jc w:val="center"/>
      </w:pPr>
    </w:p>
    <w:sectPr w:rsidR="009E3E5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6A" w:rsidRDefault="001A066A" w:rsidP="009E3E5D">
      <w:pPr>
        <w:spacing w:after="0" w:line="240" w:lineRule="auto"/>
      </w:pPr>
      <w:r>
        <w:separator/>
      </w:r>
    </w:p>
  </w:endnote>
  <w:endnote w:type="continuationSeparator" w:id="0">
    <w:p w:rsidR="001A066A" w:rsidRDefault="001A066A" w:rsidP="009E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6A" w:rsidRDefault="001A066A" w:rsidP="009E3E5D">
      <w:pPr>
        <w:spacing w:after="0" w:line="240" w:lineRule="auto"/>
      </w:pPr>
      <w:r>
        <w:separator/>
      </w:r>
    </w:p>
  </w:footnote>
  <w:footnote w:type="continuationSeparator" w:id="0">
    <w:p w:rsidR="001A066A" w:rsidRDefault="001A066A" w:rsidP="009E3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32" w:rsidRPr="009E3E5D" w:rsidRDefault="00133532" w:rsidP="009E3E5D">
    <w:pPr>
      <w:pStyle w:val="En-tte"/>
      <w:tabs>
        <w:tab w:val="left" w:pos="8220"/>
      </w:tabs>
      <w:rPr>
        <w:u w:val="single"/>
      </w:rPr>
    </w:pPr>
    <w:r w:rsidRPr="00897736">
      <w:rPr>
        <w:noProof/>
        <w:u w:val="single"/>
        <w:lang w:eastAsia="fr-FR"/>
      </w:rPr>
      <w:drawing>
        <wp:inline distT="0" distB="0" distL="0" distR="0" wp14:anchorId="0F45759C" wp14:editId="76BDA315">
          <wp:extent cx="1266825" cy="2762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570" cy="277260"/>
                  </a:xfrm>
                  <a:prstGeom prst="rect">
                    <a:avLst/>
                  </a:prstGeom>
                  <a:noFill/>
                  <a:ln>
                    <a:noFill/>
                  </a:ln>
                </pic:spPr>
              </pic:pic>
            </a:graphicData>
          </a:graphic>
        </wp:inline>
      </w:drawing>
    </w:r>
    <w:r>
      <w:rPr>
        <w:u w:val="single"/>
      </w:rPr>
      <w:tab/>
      <w:t xml:space="preserve">                                                                   </w:t>
    </w:r>
    <w:r w:rsidR="00E84C34">
      <w:rPr>
        <w:u w:val="single"/>
      </w:rPr>
      <w:t xml:space="preserve">                          mai</w:t>
    </w:r>
    <w:r w:rsidR="002235DE">
      <w:rPr>
        <w:u w:val="single"/>
      </w:rPr>
      <w:t xml:space="preserve"> 2017</w:t>
    </w:r>
    <w:r>
      <w:rPr>
        <w:u w:val="single"/>
      </w:rPr>
      <w:t xml:space="preserve"> </w:t>
    </w:r>
    <w:r w:rsidRPr="009E3E5D">
      <w:rPr>
        <w:noProof/>
        <w:u w:val="single"/>
        <w:lang w:eastAsia="fr-FR"/>
      </w:rPr>
      <w:drawing>
        <wp:inline distT="0" distB="0" distL="0" distR="0" wp14:anchorId="64DDAE81" wp14:editId="277C7244">
          <wp:extent cx="990600" cy="316947"/>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23160" cy="32736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D3"/>
    <w:rsid w:val="0008488C"/>
    <w:rsid w:val="00085D6B"/>
    <w:rsid w:val="000F0F16"/>
    <w:rsid w:val="000F3ADA"/>
    <w:rsid w:val="001039E2"/>
    <w:rsid w:val="00131794"/>
    <w:rsid w:val="00133532"/>
    <w:rsid w:val="00157C2C"/>
    <w:rsid w:val="001A066A"/>
    <w:rsid w:val="002142D8"/>
    <w:rsid w:val="002235DE"/>
    <w:rsid w:val="002B5F5A"/>
    <w:rsid w:val="00322573"/>
    <w:rsid w:val="003721C5"/>
    <w:rsid w:val="00384C18"/>
    <w:rsid w:val="00386841"/>
    <w:rsid w:val="00390FEF"/>
    <w:rsid w:val="003C4583"/>
    <w:rsid w:val="00401E47"/>
    <w:rsid w:val="004822AB"/>
    <w:rsid w:val="004A1337"/>
    <w:rsid w:val="004E208F"/>
    <w:rsid w:val="0054024F"/>
    <w:rsid w:val="00577A44"/>
    <w:rsid w:val="00585D6F"/>
    <w:rsid w:val="00617C05"/>
    <w:rsid w:val="00701A6E"/>
    <w:rsid w:val="007924BE"/>
    <w:rsid w:val="007E602A"/>
    <w:rsid w:val="00854252"/>
    <w:rsid w:val="008D24D7"/>
    <w:rsid w:val="00976409"/>
    <w:rsid w:val="009E3E5D"/>
    <w:rsid w:val="009F5FE4"/>
    <w:rsid w:val="00A11194"/>
    <w:rsid w:val="00AA4C4A"/>
    <w:rsid w:val="00AA6692"/>
    <w:rsid w:val="00AC4D3C"/>
    <w:rsid w:val="00BC0634"/>
    <w:rsid w:val="00C72D65"/>
    <w:rsid w:val="00CF32D3"/>
    <w:rsid w:val="00D021B7"/>
    <w:rsid w:val="00D46F5E"/>
    <w:rsid w:val="00D922C6"/>
    <w:rsid w:val="00DA0C2D"/>
    <w:rsid w:val="00DB1EFF"/>
    <w:rsid w:val="00DB3099"/>
    <w:rsid w:val="00E043A4"/>
    <w:rsid w:val="00E53132"/>
    <w:rsid w:val="00E77AEA"/>
    <w:rsid w:val="00E84C34"/>
    <w:rsid w:val="00EC0AD5"/>
    <w:rsid w:val="00ED7BBF"/>
    <w:rsid w:val="00EE2969"/>
    <w:rsid w:val="00EE5F8D"/>
    <w:rsid w:val="00FA166F"/>
    <w:rsid w:val="00FB0D4A"/>
    <w:rsid w:val="00FB7989"/>
    <w:rsid w:val="00FC6854"/>
    <w:rsid w:val="00FD61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D1D71-56DA-416C-B8B1-B49419D6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E3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E3E5D"/>
    <w:pPr>
      <w:tabs>
        <w:tab w:val="center" w:pos="4536"/>
        <w:tab w:val="right" w:pos="9072"/>
      </w:tabs>
      <w:spacing w:after="0" w:line="240" w:lineRule="auto"/>
    </w:pPr>
  </w:style>
  <w:style w:type="character" w:customStyle="1" w:styleId="En-tteCar">
    <w:name w:val="En-tête Car"/>
    <w:basedOn w:val="Policepardfaut"/>
    <w:link w:val="En-tte"/>
    <w:uiPriority w:val="99"/>
    <w:rsid w:val="009E3E5D"/>
  </w:style>
  <w:style w:type="paragraph" w:styleId="Pieddepage">
    <w:name w:val="footer"/>
    <w:basedOn w:val="Normal"/>
    <w:link w:val="PieddepageCar"/>
    <w:uiPriority w:val="99"/>
    <w:unhideWhenUsed/>
    <w:rsid w:val="009E3E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E5D"/>
  </w:style>
  <w:style w:type="paragraph" w:styleId="Textedebulles">
    <w:name w:val="Balloon Text"/>
    <w:basedOn w:val="Normal"/>
    <w:link w:val="TextedebullesCar"/>
    <w:uiPriority w:val="99"/>
    <w:semiHidden/>
    <w:unhideWhenUsed/>
    <w:rsid w:val="00EC0A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223</Words>
  <Characters>1229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 Consult Majed</dc:creator>
  <cp:keywords/>
  <dc:description/>
  <cp:lastModifiedBy>MH-Quali Consult</cp:lastModifiedBy>
  <cp:revision>8</cp:revision>
  <cp:lastPrinted>2016-05-07T09:13:00Z</cp:lastPrinted>
  <dcterms:created xsi:type="dcterms:W3CDTF">2016-10-21T10:40:00Z</dcterms:created>
  <dcterms:modified xsi:type="dcterms:W3CDTF">2017-07-14T19:22:00Z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60222</vt:lpwstr>
  </property>
  <property fmtid="{D5CDD505-2E9C-101B-9397-08002B2CF9AE}" name="NXPowerLiteSettings" pid="3">
    <vt:lpwstr>F7000400038000</vt:lpwstr>
  </property>
  <property fmtid="{D5CDD505-2E9C-101B-9397-08002B2CF9AE}" name="NXPowerLiteVersion" pid="4">
    <vt:lpwstr>D6.1.0</vt:lpwstr>
  </property>
</Properties>
</file>