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C4A" w:rsidRDefault="00AA4C4A" w:rsidP="00AA4C4A"/>
    <w:tbl>
      <w:tblPr>
        <w:tblStyle w:val="TableGrid"/>
        <w:tblW w:w="9335" w:type="dxa"/>
        <w:tblLook w:val="04A0" w:firstRow="1" w:lastRow="0" w:firstColumn="1" w:lastColumn="0" w:noHBand="0" w:noVBand="1"/>
      </w:tblPr>
      <w:tblGrid>
        <w:gridCol w:w="2959"/>
        <w:gridCol w:w="6376"/>
      </w:tblGrid>
      <w:tr w:rsidR="009E3E5D" w:rsidRPr="009E3E5D" w:rsidTr="009E3E5D">
        <w:trPr>
          <w:trHeight w:val="834"/>
        </w:trPr>
        <w:tc>
          <w:tcPr>
            <w:tcW w:w="9335" w:type="dxa"/>
            <w:gridSpan w:val="2"/>
            <w:shd w:val="clear" w:color="auto" w:fill="9CC2E5" w:themeFill="accent1" w:themeFillTint="99"/>
            <w:vAlign w:val="center"/>
          </w:tcPr>
          <w:p w:rsidR="009E3E5D" w:rsidRPr="009E3E5D" w:rsidRDefault="009E3E5D" w:rsidP="009E3E5D">
            <w:pPr>
              <w:jc w:val="center"/>
              <w:rPr>
                <w:b/>
                <w:bCs/>
                <w:sz w:val="28"/>
                <w:szCs w:val="28"/>
              </w:rPr>
            </w:pPr>
            <w:r w:rsidRPr="009E3E5D">
              <w:rPr>
                <w:b/>
                <w:bCs/>
                <w:sz w:val="28"/>
                <w:szCs w:val="28"/>
              </w:rPr>
              <w:t>Note technique de fin d’audit</w:t>
            </w:r>
          </w:p>
        </w:tc>
      </w:tr>
      <w:tr w:rsidR="009E3E5D" w:rsidRPr="009E3E5D" w:rsidTr="009E3E5D">
        <w:trPr>
          <w:trHeight w:val="415"/>
        </w:trPr>
        <w:tc>
          <w:tcPr>
            <w:tcW w:w="2959" w:type="dxa"/>
            <w:shd w:val="clear" w:color="auto" w:fill="D9D9D9" w:themeFill="background1" w:themeFillShade="D9"/>
            <w:vAlign w:val="center"/>
          </w:tcPr>
          <w:p w:rsidR="009E3E5D" w:rsidRPr="009E3E5D" w:rsidRDefault="009E3E5D" w:rsidP="009E3E5D">
            <w:pPr>
              <w:rPr>
                <w:sz w:val="28"/>
                <w:szCs w:val="28"/>
              </w:rPr>
            </w:pPr>
            <w:r>
              <w:rPr>
                <w:sz w:val="28"/>
                <w:szCs w:val="28"/>
              </w:rPr>
              <w:t>Magasin</w:t>
            </w:r>
          </w:p>
        </w:tc>
        <w:tc>
          <w:tcPr>
            <w:tcW w:w="6376" w:type="dxa"/>
          </w:tcPr>
          <w:p w:rsidR="009E3E5D" w:rsidRPr="009E3E5D" w:rsidRDefault="00975A81" w:rsidP="00650391">
            <w:pPr>
              <w:rPr>
                <w:sz w:val="28"/>
                <w:szCs w:val="28"/>
              </w:rPr>
            </w:pPr>
            <w:r>
              <w:rPr>
                <w:sz w:val="28"/>
                <w:szCs w:val="28"/>
              </w:rPr>
              <w:t xml:space="preserve">CM </w:t>
            </w:r>
            <w:proofErr w:type="spellStart"/>
            <w:r w:rsidR="00650391">
              <w:rPr>
                <w:sz w:val="28"/>
                <w:szCs w:val="28"/>
              </w:rPr>
              <w:t>Jammel</w:t>
            </w:r>
            <w:proofErr w:type="spellEnd"/>
          </w:p>
        </w:tc>
      </w:tr>
      <w:tr w:rsidR="009E3E5D" w:rsidRPr="009E3E5D" w:rsidTr="009E3E5D">
        <w:trPr>
          <w:trHeight w:val="392"/>
        </w:trPr>
        <w:tc>
          <w:tcPr>
            <w:tcW w:w="2959" w:type="dxa"/>
            <w:shd w:val="clear" w:color="auto" w:fill="D9D9D9" w:themeFill="background1" w:themeFillShade="D9"/>
            <w:vAlign w:val="center"/>
          </w:tcPr>
          <w:p w:rsidR="009E3E5D" w:rsidRPr="009E3E5D" w:rsidRDefault="009E3E5D" w:rsidP="009E3E5D">
            <w:pPr>
              <w:rPr>
                <w:sz w:val="28"/>
                <w:szCs w:val="28"/>
              </w:rPr>
            </w:pPr>
            <w:r>
              <w:rPr>
                <w:sz w:val="28"/>
                <w:szCs w:val="28"/>
              </w:rPr>
              <w:t>Date de l’audit</w:t>
            </w:r>
          </w:p>
        </w:tc>
        <w:tc>
          <w:tcPr>
            <w:tcW w:w="6376" w:type="dxa"/>
          </w:tcPr>
          <w:p w:rsidR="009E3E5D" w:rsidRPr="009E3E5D" w:rsidRDefault="00650391" w:rsidP="00AC4D3C">
            <w:pPr>
              <w:rPr>
                <w:sz w:val="28"/>
                <w:szCs w:val="28"/>
              </w:rPr>
            </w:pPr>
            <w:r>
              <w:rPr>
                <w:sz w:val="28"/>
                <w:szCs w:val="28"/>
              </w:rPr>
              <w:t>15</w:t>
            </w:r>
            <w:r w:rsidR="00975A81">
              <w:rPr>
                <w:sz w:val="28"/>
                <w:szCs w:val="28"/>
              </w:rPr>
              <w:t xml:space="preserve"> août 2017</w:t>
            </w:r>
          </w:p>
        </w:tc>
      </w:tr>
      <w:tr w:rsidR="009E3E5D" w:rsidRPr="009E3E5D" w:rsidTr="0008488C">
        <w:trPr>
          <w:trHeight w:val="1007"/>
        </w:trPr>
        <w:tc>
          <w:tcPr>
            <w:tcW w:w="2959" w:type="dxa"/>
            <w:shd w:val="clear" w:color="auto" w:fill="D9D9D9" w:themeFill="background1" w:themeFillShade="D9"/>
            <w:vAlign w:val="center"/>
          </w:tcPr>
          <w:p w:rsidR="009E3E5D" w:rsidRPr="009E3E5D" w:rsidRDefault="009E3E5D" w:rsidP="009E3E5D">
            <w:pPr>
              <w:rPr>
                <w:sz w:val="28"/>
                <w:szCs w:val="28"/>
              </w:rPr>
            </w:pPr>
            <w:r w:rsidRPr="009E3E5D">
              <w:rPr>
                <w:sz w:val="28"/>
                <w:szCs w:val="28"/>
              </w:rPr>
              <w:t>Propreté du back office</w:t>
            </w:r>
          </w:p>
        </w:tc>
        <w:tc>
          <w:tcPr>
            <w:tcW w:w="6376" w:type="dxa"/>
          </w:tcPr>
          <w:p w:rsidR="00AC4D3C" w:rsidRPr="009E3E5D" w:rsidRDefault="00975A81" w:rsidP="004822AB">
            <w:pPr>
              <w:rPr>
                <w:sz w:val="28"/>
                <w:szCs w:val="28"/>
              </w:rPr>
            </w:pPr>
            <w:r>
              <w:rPr>
                <w:sz w:val="28"/>
                <w:szCs w:val="28"/>
              </w:rPr>
              <w:t>Back office propre en général</w:t>
            </w:r>
          </w:p>
        </w:tc>
      </w:tr>
      <w:tr w:rsidR="009E3E5D" w:rsidRPr="009E3E5D" w:rsidTr="002B5F5A">
        <w:trPr>
          <w:trHeight w:val="833"/>
        </w:trPr>
        <w:tc>
          <w:tcPr>
            <w:tcW w:w="2959" w:type="dxa"/>
            <w:shd w:val="clear" w:color="auto" w:fill="D9D9D9" w:themeFill="background1" w:themeFillShade="D9"/>
            <w:vAlign w:val="center"/>
          </w:tcPr>
          <w:p w:rsidR="009E3E5D" w:rsidRPr="009E3E5D" w:rsidRDefault="009E3E5D" w:rsidP="009E3E5D">
            <w:pPr>
              <w:rPr>
                <w:sz w:val="28"/>
                <w:szCs w:val="28"/>
              </w:rPr>
            </w:pPr>
            <w:r w:rsidRPr="009E3E5D">
              <w:rPr>
                <w:sz w:val="28"/>
                <w:szCs w:val="28"/>
              </w:rPr>
              <w:t>Propreté du front office</w:t>
            </w:r>
          </w:p>
        </w:tc>
        <w:tc>
          <w:tcPr>
            <w:tcW w:w="6376" w:type="dxa"/>
          </w:tcPr>
          <w:p w:rsidR="003721C5" w:rsidRPr="009E3E5D" w:rsidRDefault="00975A81" w:rsidP="00854252">
            <w:pPr>
              <w:rPr>
                <w:sz w:val="28"/>
                <w:szCs w:val="28"/>
              </w:rPr>
            </w:pPr>
            <w:r>
              <w:rPr>
                <w:sz w:val="28"/>
                <w:szCs w:val="28"/>
              </w:rPr>
              <w:t>Magasin propre en général</w:t>
            </w:r>
          </w:p>
        </w:tc>
      </w:tr>
      <w:tr w:rsidR="009E3E5D" w:rsidRPr="009E3E5D" w:rsidTr="00E77AEA">
        <w:trPr>
          <w:trHeight w:val="476"/>
        </w:trPr>
        <w:tc>
          <w:tcPr>
            <w:tcW w:w="2959" w:type="dxa"/>
            <w:shd w:val="clear" w:color="auto" w:fill="D9D9D9" w:themeFill="background1" w:themeFillShade="D9"/>
            <w:vAlign w:val="center"/>
          </w:tcPr>
          <w:p w:rsidR="009E3E5D" w:rsidRPr="009E3E5D" w:rsidRDefault="009E3E5D" w:rsidP="009E3E5D">
            <w:pPr>
              <w:rPr>
                <w:sz w:val="28"/>
                <w:szCs w:val="28"/>
              </w:rPr>
            </w:pPr>
            <w:r w:rsidRPr="009E3E5D">
              <w:rPr>
                <w:sz w:val="28"/>
                <w:szCs w:val="28"/>
              </w:rPr>
              <w:t>Respect de la charte vestimentaire</w:t>
            </w:r>
          </w:p>
        </w:tc>
        <w:tc>
          <w:tcPr>
            <w:tcW w:w="6376" w:type="dxa"/>
          </w:tcPr>
          <w:p w:rsidR="003721C5" w:rsidRPr="009E3E5D" w:rsidRDefault="00650391" w:rsidP="00AA4C4A">
            <w:pPr>
              <w:rPr>
                <w:sz w:val="28"/>
                <w:szCs w:val="28"/>
              </w:rPr>
            </w:pPr>
            <w:r>
              <w:rPr>
                <w:sz w:val="28"/>
                <w:szCs w:val="28"/>
              </w:rPr>
              <w:t>Charte vestimentaire respectée par l’ensemble des employés</w:t>
            </w:r>
          </w:p>
        </w:tc>
      </w:tr>
      <w:tr w:rsidR="009E3E5D" w:rsidRPr="009E3E5D" w:rsidTr="00E53132">
        <w:trPr>
          <w:trHeight w:val="1446"/>
        </w:trPr>
        <w:tc>
          <w:tcPr>
            <w:tcW w:w="2959" w:type="dxa"/>
            <w:shd w:val="clear" w:color="auto" w:fill="D9D9D9" w:themeFill="background1" w:themeFillShade="D9"/>
            <w:vAlign w:val="center"/>
          </w:tcPr>
          <w:p w:rsidR="009E3E5D" w:rsidRPr="009E3E5D" w:rsidRDefault="009E3E5D" w:rsidP="009E3E5D">
            <w:pPr>
              <w:rPr>
                <w:sz w:val="28"/>
                <w:szCs w:val="28"/>
              </w:rPr>
            </w:pPr>
            <w:r w:rsidRPr="009E3E5D">
              <w:rPr>
                <w:sz w:val="28"/>
                <w:szCs w:val="28"/>
              </w:rPr>
              <w:t>Infrastructure (revêtements et agencement des locaux)</w:t>
            </w:r>
          </w:p>
        </w:tc>
        <w:tc>
          <w:tcPr>
            <w:tcW w:w="6376" w:type="dxa"/>
          </w:tcPr>
          <w:p w:rsidR="00DA73A2" w:rsidRDefault="00DA73A2" w:rsidP="00DA73A2">
            <w:pPr>
              <w:jc w:val="both"/>
              <w:rPr>
                <w:sz w:val="28"/>
                <w:szCs w:val="28"/>
              </w:rPr>
            </w:pPr>
            <w:r>
              <w:rPr>
                <w:sz w:val="28"/>
                <w:szCs w:val="28"/>
              </w:rPr>
              <w:t>Le système froid (chambres froides positives et linéaires) de l’ensemble du magasin s’est arrêté le jour de l’audit (sauf l’élément surgelé</w:t>
            </w:r>
            <w:r w:rsidR="00F81764">
              <w:rPr>
                <w:sz w:val="28"/>
                <w:szCs w:val="28"/>
              </w:rPr>
              <w:t xml:space="preserve"> de la poissonnerie et PLS</w:t>
            </w:r>
            <w:r>
              <w:rPr>
                <w:sz w:val="28"/>
                <w:szCs w:val="28"/>
              </w:rPr>
              <w:t xml:space="preserve"> et la chambre froide négative). </w:t>
            </w:r>
          </w:p>
          <w:p w:rsidR="00DA73A2" w:rsidRDefault="00DA73A2" w:rsidP="00DA73A2">
            <w:pPr>
              <w:jc w:val="both"/>
              <w:rPr>
                <w:sz w:val="28"/>
                <w:szCs w:val="28"/>
              </w:rPr>
            </w:pPr>
            <w:r>
              <w:rPr>
                <w:sz w:val="28"/>
                <w:szCs w:val="28"/>
              </w:rPr>
              <w:t>Il ne s’agit pas de panne d’équipements mais ils n’étaient pas alimentés de courant électrique durant deux heures (les denrées présentées ont été transférées vers les chambres froides jusqu’à rétablissement de l’alimentation). Au rétablissement de l’alimentation</w:t>
            </w:r>
            <w:r w:rsidR="00F81764">
              <w:rPr>
                <w:sz w:val="28"/>
                <w:szCs w:val="28"/>
              </w:rPr>
              <w:t>,</w:t>
            </w:r>
            <w:r>
              <w:rPr>
                <w:sz w:val="28"/>
                <w:szCs w:val="28"/>
              </w:rPr>
              <w:t xml:space="preserve"> les équipements ont repris leur fonctionnement normal</w:t>
            </w:r>
            <w:r w:rsidR="00F81764">
              <w:rPr>
                <w:sz w:val="28"/>
                <w:szCs w:val="28"/>
              </w:rPr>
              <w:t>. Toutes les températures ont été vérifiées et elles étaient conformes.</w:t>
            </w:r>
            <w:bookmarkStart w:id="0" w:name="_GoBack"/>
            <w:bookmarkEnd w:id="0"/>
          </w:p>
          <w:p w:rsidR="00975A81" w:rsidRDefault="00975A81" w:rsidP="00DA73A2">
            <w:pPr>
              <w:jc w:val="both"/>
              <w:rPr>
                <w:sz w:val="28"/>
                <w:szCs w:val="28"/>
              </w:rPr>
            </w:pPr>
            <w:r>
              <w:rPr>
                <w:sz w:val="28"/>
                <w:szCs w:val="28"/>
              </w:rPr>
              <w:t>Local déchets </w:t>
            </w:r>
            <w:r w:rsidR="00DA73A2">
              <w:rPr>
                <w:sz w:val="28"/>
                <w:szCs w:val="28"/>
              </w:rPr>
              <w:t>sans</w:t>
            </w:r>
            <w:r w:rsidR="00650391">
              <w:rPr>
                <w:sz w:val="28"/>
                <w:szCs w:val="28"/>
              </w:rPr>
              <w:t xml:space="preserve"> climatiseur</w:t>
            </w:r>
          </w:p>
          <w:p w:rsidR="00DA73A2" w:rsidRDefault="00DA73A2" w:rsidP="00DA73A2">
            <w:pPr>
              <w:jc w:val="both"/>
              <w:rPr>
                <w:sz w:val="28"/>
                <w:szCs w:val="28"/>
              </w:rPr>
            </w:pPr>
            <w:r>
              <w:rPr>
                <w:sz w:val="28"/>
                <w:szCs w:val="28"/>
              </w:rPr>
              <w:t>Porte de la réception non étanche</w:t>
            </w:r>
          </w:p>
          <w:p w:rsidR="00DA73A2" w:rsidRDefault="00DA73A2" w:rsidP="00DA73A2">
            <w:pPr>
              <w:jc w:val="both"/>
              <w:rPr>
                <w:sz w:val="28"/>
                <w:szCs w:val="28"/>
              </w:rPr>
            </w:pPr>
            <w:r>
              <w:rPr>
                <w:sz w:val="28"/>
                <w:szCs w:val="28"/>
              </w:rPr>
              <w:t>Prévoir une protection de l’aire de réception</w:t>
            </w:r>
          </w:p>
          <w:p w:rsidR="003772C7" w:rsidRPr="009E3E5D" w:rsidRDefault="003772C7" w:rsidP="00DA73A2">
            <w:pPr>
              <w:jc w:val="both"/>
              <w:rPr>
                <w:sz w:val="28"/>
                <w:szCs w:val="28"/>
              </w:rPr>
            </w:pPr>
          </w:p>
        </w:tc>
      </w:tr>
      <w:tr w:rsidR="009E3E5D" w:rsidRPr="009E3E5D" w:rsidTr="009E3E5D">
        <w:trPr>
          <w:trHeight w:val="1732"/>
        </w:trPr>
        <w:tc>
          <w:tcPr>
            <w:tcW w:w="2959" w:type="dxa"/>
            <w:shd w:val="clear" w:color="auto" w:fill="D9D9D9" w:themeFill="background1" w:themeFillShade="D9"/>
          </w:tcPr>
          <w:p w:rsidR="009E3E5D" w:rsidRPr="009E3E5D" w:rsidRDefault="009E3E5D" w:rsidP="00AA4C4A">
            <w:pPr>
              <w:rPr>
                <w:sz w:val="28"/>
                <w:szCs w:val="28"/>
              </w:rPr>
            </w:pPr>
            <w:r w:rsidRPr="009E3E5D">
              <w:rPr>
                <w:sz w:val="28"/>
                <w:szCs w:val="28"/>
              </w:rPr>
              <w:t>Autres points importants</w:t>
            </w:r>
          </w:p>
        </w:tc>
        <w:tc>
          <w:tcPr>
            <w:tcW w:w="6376" w:type="dxa"/>
          </w:tcPr>
          <w:p w:rsidR="00975A81" w:rsidRDefault="00DA73A2" w:rsidP="00650391">
            <w:pPr>
              <w:rPr>
                <w:sz w:val="28"/>
                <w:szCs w:val="28"/>
              </w:rPr>
            </w:pPr>
            <w:r>
              <w:rPr>
                <w:sz w:val="28"/>
                <w:szCs w:val="28"/>
              </w:rPr>
              <w:t>Terminal de cuisson : renforcer les opérations de nettoyage au-dessus du four.</w:t>
            </w:r>
          </w:p>
          <w:p w:rsidR="00DA73A2" w:rsidRDefault="00DA73A2" w:rsidP="00650391">
            <w:pPr>
              <w:rPr>
                <w:sz w:val="28"/>
                <w:szCs w:val="28"/>
              </w:rPr>
            </w:pPr>
            <w:r>
              <w:rPr>
                <w:sz w:val="28"/>
                <w:szCs w:val="28"/>
              </w:rPr>
              <w:t xml:space="preserve">Prévoir la prise de température à cœur des denrées </w:t>
            </w:r>
            <w:r w:rsidR="005F7753">
              <w:rPr>
                <w:sz w:val="28"/>
                <w:szCs w:val="28"/>
              </w:rPr>
              <w:t>présentées à la vente à la fréquence indiquée sur les fiches de suivi (traiteur et terminal de cuisson).</w:t>
            </w:r>
          </w:p>
          <w:p w:rsidR="005F7753" w:rsidRPr="009E3E5D" w:rsidRDefault="005F7753" w:rsidP="00650391">
            <w:pPr>
              <w:rPr>
                <w:sz w:val="28"/>
                <w:szCs w:val="28"/>
              </w:rPr>
            </w:pPr>
            <w:r>
              <w:rPr>
                <w:sz w:val="28"/>
                <w:szCs w:val="28"/>
              </w:rPr>
              <w:t>utilisation erronée de le fiche de nettoyage (traiteur et terminal cuisson).</w:t>
            </w:r>
          </w:p>
        </w:tc>
      </w:tr>
    </w:tbl>
    <w:p w:rsidR="009E3E5D" w:rsidRDefault="009E3E5D" w:rsidP="00AA4C4A"/>
    <w:tbl>
      <w:tblPr>
        <w:tblStyle w:val="TableGrid"/>
        <w:tblW w:w="10370" w:type="dxa"/>
        <w:jc w:val="center"/>
        <w:tblLook w:val="04A0" w:firstRow="1" w:lastRow="0" w:firstColumn="1" w:lastColumn="0" w:noHBand="0" w:noVBand="1"/>
      </w:tblPr>
      <w:tblGrid>
        <w:gridCol w:w="1271"/>
        <w:gridCol w:w="652"/>
        <w:gridCol w:w="650"/>
        <w:gridCol w:w="651"/>
        <w:gridCol w:w="649"/>
        <w:gridCol w:w="651"/>
        <w:gridCol w:w="649"/>
        <w:gridCol w:w="651"/>
        <w:gridCol w:w="649"/>
        <w:gridCol w:w="652"/>
        <w:gridCol w:w="649"/>
        <w:gridCol w:w="649"/>
        <w:gridCol w:w="649"/>
        <w:gridCol w:w="649"/>
        <w:gridCol w:w="649"/>
      </w:tblGrid>
      <w:tr w:rsidR="002235DE" w:rsidRPr="009E3E5D" w:rsidTr="002235DE">
        <w:trPr>
          <w:jc w:val="center"/>
        </w:trPr>
        <w:tc>
          <w:tcPr>
            <w:tcW w:w="1271" w:type="dxa"/>
            <w:shd w:val="clear" w:color="auto" w:fill="D9D9D9" w:themeFill="background1" w:themeFillShade="D9"/>
          </w:tcPr>
          <w:p w:rsidR="002235DE" w:rsidRPr="009E3E5D" w:rsidRDefault="002235DE" w:rsidP="009E3E5D">
            <w:pPr>
              <w:rPr>
                <w:b/>
                <w:bCs/>
              </w:rPr>
            </w:pPr>
            <w:r w:rsidRPr="009E3E5D">
              <w:rPr>
                <w:b/>
                <w:bCs/>
              </w:rPr>
              <w:t>Auditeur</w:t>
            </w:r>
            <w:r>
              <w:rPr>
                <w:b/>
                <w:bCs/>
              </w:rPr>
              <w:t>(s)</w:t>
            </w:r>
          </w:p>
          <w:p w:rsidR="002235DE" w:rsidRPr="009E3E5D" w:rsidRDefault="002235DE" w:rsidP="009E3E5D">
            <w:pPr>
              <w:rPr>
                <w:b/>
                <w:bCs/>
              </w:rPr>
            </w:pPr>
            <w:r w:rsidRPr="009E3E5D">
              <w:rPr>
                <w:b/>
                <w:bCs/>
              </w:rPr>
              <w:t>(cocher)</w:t>
            </w:r>
          </w:p>
        </w:tc>
        <w:tc>
          <w:tcPr>
            <w:tcW w:w="652" w:type="dxa"/>
            <w:shd w:val="clear" w:color="auto" w:fill="D9D9D9" w:themeFill="background1" w:themeFillShade="D9"/>
            <w:vAlign w:val="center"/>
          </w:tcPr>
          <w:p w:rsidR="002235DE" w:rsidRPr="009E3E5D" w:rsidRDefault="002235DE" w:rsidP="009E3E5D">
            <w:pPr>
              <w:rPr>
                <w:b/>
                <w:bCs/>
              </w:rPr>
            </w:pPr>
            <w:r w:rsidRPr="009E3E5D">
              <w:rPr>
                <w:b/>
                <w:bCs/>
              </w:rPr>
              <w:t>MC</w:t>
            </w:r>
          </w:p>
        </w:tc>
        <w:tc>
          <w:tcPr>
            <w:tcW w:w="650" w:type="dxa"/>
            <w:vAlign w:val="center"/>
          </w:tcPr>
          <w:p w:rsidR="002235DE" w:rsidRPr="009E3E5D" w:rsidRDefault="002235DE" w:rsidP="009E3E5D">
            <w:pPr>
              <w:rPr>
                <w:b/>
                <w:bCs/>
              </w:rPr>
            </w:pPr>
          </w:p>
        </w:tc>
        <w:tc>
          <w:tcPr>
            <w:tcW w:w="651" w:type="dxa"/>
            <w:shd w:val="clear" w:color="auto" w:fill="D9D9D9" w:themeFill="background1" w:themeFillShade="D9"/>
            <w:vAlign w:val="center"/>
          </w:tcPr>
          <w:p w:rsidR="002235DE" w:rsidRPr="009E3E5D" w:rsidRDefault="002235DE" w:rsidP="009E3E5D">
            <w:pPr>
              <w:rPr>
                <w:b/>
                <w:bCs/>
              </w:rPr>
            </w:pPr>
            <w:r w:rsidRPr="009E3E5D">
              <w:rPr>
                <w:b/>
                <w:bCs/>
              </w:rPr>
              <w:t>MJ</w:t>
            </w:r>
          </w:p>
        </w:tc>
        <w:tc>
          <w:tcPr>
            <w:tcW w:w="649" w:type="dxa"/>
            <w:vAlign w:val="center"/>
          </w:tcPr>
          <w:p w:rsidR="002235DE" w:rsidRPr="009E3E5D" w:rsidRDefault="002235DE" w:rsidP="009E3E5D">
            <w:pPr>
              <w:rPr>
                <w:b/>
                <w:bCs/>
              </w:rPr>
            </w:pPr>
          </w:p>
        </w:tc>
        <w:tc>
          <w:tcPr>
            <w:tcW w:w="651" w:type="dxa"/>
            <w:shd w:val="clear" w:color="auto" w:fill="D9D9D9" w:themeFill="background1" w:themeFillShade="D9"/>
            <w:vAlign w:val="center"/>
          </w:tcPr>
          <w:p w:rsidR="002235DE" w:rsidRPr="009E3E5D" w:rsidRDefault="002235DE" w:rsidP="009E3E5D">
            <w:pPr>
              <w:rPr>
                <w:b/>
                <w:bCs/>
              </w:rPr>
            </w:pPr>
            <w:r w:rsidRPr="009E3E5D">
              <w:rPr>
                <w:b/>
                <w:bCs/>
              </w:rPr>
              <w:t>MH</w:t>
            </w:r>
          </w:p>
        </w:tc>
        <w:tc>
          <w:tcPr>
            <w:tcW w:w="649" w:type="dxa"/>
            <w:vAlign w:val="center"/>
          </w:tcPr>
          <w:p w:rsidR="002235DE" w:rsidRPr="009E3E5D" w:rsidRDefault="002235DE" w:rsidP="009E3E5D">
            <w:pPr>
              <w:rPr>
                <w:b/>
                <w:bCs/>
              </w:rPr>
            </w:pPr>
          </w:p>
        </w:tc>
        <w:tc>
          <w:tcPr>
            <w:tcW w:w="651" w:type="dxa"/>
            <w:shd w:val="clear" w:color="auto" w:fill="D9D9D9" w:themeFill="background1" w:themeFillShade="D9"/>
            <w:vAlign w:val="center"/>
          </w:tcPr>
          <w:p w:rsidR="002235DE" w:rsidRPr="009E3E5D" w:rsidRDefault="002235DE" w:rsidP="009E3E5D">
            <w:pPr>
              <w:rPr>
                <w:b/>
                <w:bCs/>
              </w:rPr>
            </w:pPr>
            <w:r w:rsidRPr="009E3E5D">
              <w:rPr>
                <w:b/>
                <w:bCs/>
              </w:rPr>
              <w:t xml:space="preserve"> </w:t>
            </w:r>
            <w:r>
              <w:rPr>
                <w:b/>
                <w:bCs/>
              </w:rPr>
              <w:t>HK</w:t>
            </w:r>
          </w:p>
        </w:tc>
        <w:tc>
          <w:tcPr>
            <w:tcW w:w="649" w:type="dxa"/>
            <w:vAlign w:val="center"/>
          </w:tcPr>
          <w:p w:rsidR="002235DE" w:rsidRPr="009E3E5D" w:rsidRDefault="00975A81" w:rsidP="009E3E5D">
            <w:pPr>
              <w:rPr>
                <w:b/>
                <w:bCs/>
              </w:rPr>
            </w:pPr>
            <w:r>
              <w:rPr>
                <w:b/>
                <w:bCs/>
              </w:rPr>
              <w:t>X</w:t>
            </w:r>
          </w:p>
        </w:tc>
        <w:tc>
          <w:tcPr>
            <w:tcW w:w="652" w:type="dxa"/>
            <w:shd w:val="clear" w:color="auto" w:fill="D9D9D9" w:themeFill="background1" w:themeFillShade="D9"/>
            <w:vAlign w:val="center"/>
          </w:tcPr>
          <w:p w:rsidR="002235DE" w:rsidRPr="009E3E5D" w:rsidRDefault="002235DE" w:rsidP="00E043A4">
            <w:pPr>
              <w:jc w:val="center"/>
              <w:rPr>
                <w:b/>
                <w:bCs/>
              </w:rPr>
            </w:pPr>
            <w:r>
              <w:rPr>
                <w:b/>
                <w:bCs/>
              </w:rPr>
              <w:t>HEK</w:t>
            </w:r>
          </w:p>
        </w:tc>
        <w:tc>
          <w:tcPr>
            <w:tcW w:w="649" w:type="dxa"/>
          </w:tcPr>
          <w:p w:rsidR="002235DE" w:rsidRPr="009E3E5D" w:rsidRDefault="002235DE" w:rsidP="009E3E5D">
            <w:pPr>
              <w:rPr>
                <w:b/>
                <w:bCs/>
              </w:rPr>
            </w:pPr>
          </w:p>
        </w:tc>
        <w:tc>
          <w:tcPr>
            <w:tcW w:w="649" w:type="dxa"/>
            <w:shd w:val="clear" w:color="auto" w:fill="D9D9D9" w:themeFill="background1" w:themeFillShade="D9"/>
            <w:vAlign w:val="center"/>
          </w:tcPr>
          <w:p w:rsidR="002235DE" w:rsidRPr="009E3E5D" w:rsidRDefault="00A10DFA" w:rsidP="002235DE">
            <w:pPr>
              <w:jc w:val="center"/>
              <w:rPr>
                <w:b/>
                <w:bCs/>
              </w:rPr>
            </w:pPr>
            <w:r>
              <w:rPr>
                <w:b/>
                <w:bCs/>
              </w:rPr>
              <w:t>BH</w:t>
            </w:r>
          </w:p>
        </w:tc>
        <w:tc>
          <w:tcPr>
            <w:tcW w:w="649" w:type="dxa"/>
            <w:vAlign w:val="center"/>
          </w:tcPr>
          <w:p w:rsidR="002235DE" w:rsidRPr="009E3E5D" w:rsidRDefault="002235DE" w:rsidP="002235DE">
            <w:pPr>
              <w:jc w:val="center"/>
              <w:rPr>
                <w:b/>
                <w:bCs/>
              </w:rPr>
            </w:pPr>
          </w:p>
        </w:tc>
        <w:tc>
          <w:tcPr>
            <w:tcW w:w="649" w:type="dxa"/>
            <w:shd w:val="clear" w:color="auto" w:fill="D9D9D9" w:themeFill="background1" w:themeFillShade="D9"/>
            <w:vAlign w:val="center"/>
          </w:tcPr>
          <w:p w:rsidR="002235DE" w:rsidRPr="009E3E5D" w:rsidRDefault="00A10DFA" w:rsidP="002235DE">
            <w:pPr>
              <w:jc w:val="center"/>
              <w:rPr>
                <w:b/>
                <w:bCs/>
              </w:rPr>
            </w:pPr>
            <w:r>
              <w:rPr>
                <w:b/>
                <w:bCs/>
              </w:rPr>
              <w:t>SS</w:t>
            </w:r>
          </w:p>
        </w:tc>
        <w:tc>
          <w:tcPr>
            <w:tcW w:w="649" w:type="dxa"/>
            <w:vAlign w:val="center"/>
          </w:tcPr>
          <w:p w:rsidR="002235DE" w:rsidRPr="009E3E5D" w:rsidRDefault="002235DE" w:rsidP="002235DE">
            <w:pPr>
              <w:jc w:val="center"/>
              <w:rPr>
                <w:b/>
                <w:bCs/>
              </w:rPr>
            </w:pPr>
          </w:p>
        </w:tc>
      </w:tr>
    </w:tbl>
    <w:p w:rsidR="009E3E5D" w:rsidRDefault="009E3E5D" w:rsidP="009E3E5D">
      <w:pPr>
        <w:jc w:val="center"/>
      </w:pPr>
    </w:p>
    <w:sectPr w:rsidR="009E3E5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5F5" w:rsidRDefault="00D155F5" w:rsidP="009E3E5D">
      <w:pPr>
        <w:spacing w:after="0" w:line="240" w:lineRule="auto"/>
      </w:pPr>
      <w:r>
        <w:separator/>
      </w:r>
    </w:p>
  </w:endnote>
  <w:endnote w:type="continuationSeparator" w:id="0">
    <w:p w:rsidR="00D155F5" w:rsidRDefault="00D155F5" w:rsidP="009E3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5F5" w:rsidRDefault="00D155F5" w:rsidP="009E3E5D">
      <w:pPr>
        <w:spacing w:after="0" w:line="240" w:lineRule="auto"/>
      </w:pPr>
      <w:r>
        <w:separator/>
      </w:r>
    </w:p>
  </w:footnote>
  <w:footnote w:type="continuationSeparator" w:id="0">
    <w:p w:rsidR="00D155F5" w:rsidRDefault="00D155F5" w:rsidP="009E3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32" w:rsidRPr="009E3E5D" w:rsidRDefault="00133532" w:rsidP="009E3E5D">
    <w:pPr>
      <w:pStyle w:val="Header"/>
      <w:tabs>
        <w:tab w:val="left" w:pos="8220"/>
      </w:tabs>
      <w:rPr>
        <w:u w:val="single"/>
      </w:rPr>
    </w:pPr>
    <w:r w:rsidRPr="00897736">
      <w:rPr>
        <w:noProof/>
        <w:u w:val="single"/>
        <w:lang w:eastAsia="fr-FR"/>
      </w:rPr>
      <w:drawing>
        <wp:inline distT="0" distB="0" distL="0" distR="0" wp14:anchorId="0F45759C" wp14:editId="76BDA315">
          <wp:extent cx="1266825" cy="27622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570" cy="277260"/>
                  </a:xfrm>
                  <a:prstGeom prst="rect">
                    <a:avLst/>
                  </a:prstGeom>
                  <a:noFill/>
                  <a:ln>
                    <a:noFill/>
                  </a:ln>
                </pic:spPr>
              </pic:pic>
            </a:graphicData>
          </a:graphic>
        </wp:inline>
      </w:drawing>
    </w:r>
    <w:r>
      <w:rPr>
        <w:u w:val="single"/>
      </w:rPr>
      <w:tab/>
      <w:t xml:space="preserve">                                                                   </w:t>
    </w:r>
    <w:r w:rsidR="002235DE">
      <w:rPr>
        <w:u w:val="single"/>
      </w:rPr>
      <w:t xml:space="preserve">                        mars 2017</w:t>
    </w:r>
    <w:r>
      <w:rPr>
        <w:u w:val="single"/>
      </w:rPr>
      <w:t xml:space="preserve"> </w:t>
    </w:r>
    <w:r w:rsidRPr="009E3E5D">
      <w:rPr>
        <w:noProof/>
        <w:u w:val="single"/>
        <w:lang w:eastAsia="fr-FR"/>
      </w:rPr>
      <w:drawing>
        <wp:inline distT="0" distB="0" distL="0" distR="0" wp14:anchorId="64DDAE81" wp14:editId="277C7244">
          <wp:extent cx="990600" cy="316947"/>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23160" cy="32736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D3"/>
    <w:rsid w:val="00006079"/>
    <w:rsid w:val="0008488C"/>
    <w:rsid w:val="00085D6B"/>
    <w:rsid w:val="000F0F16"/>
    <w:rsid w:val="000F3ADA"/>
    <w:rsid w:val="001039E2"/>
    <w:rsid w:val="00131794"/>
    <w:rsid w:val="00133532"/>
    <w:rsid w:val="00157C2C"/>
    <w:rsid w:val="002142D8"/>
    <w:rsid w:val="002235DE"/>
    <w:rsid w:val="002B5F5A"/>
    <w:rsid w:val="002C3547"/>
    <w:rsid w:val="00322573"/>
    <w:rsid w:val="003721C5"/>
    <w:rsid w:val="003772C7"/>
    <w:rsid w:val="00384C18"/>
    <w:rsid w:val="00386841"/>
    <w:rsid w:val="00390FEF"/>
    <w:rsid w:val="003B6894"/>
    <w:rsid w:val="003C4583"/>
    <w:rsid w:val="00401E47"/>
    <w:rsid w:val="004822AB"/>
    <w:rsid w:val="004A1337"/>
    <w:rsid w:val="004E208F"/>
    <w:rsid w:val="0054024F"/>
    <w:rsid w:val="00577A44"/>
    <w:rsid w:val="00585D6F"/>
    <w:rsid w:val="005F7753"/>
    <w:rsid w:val="00617C05"/>
    <w:rsid w:val="00650391"/>
    <w:rsid w:val="00701A6E"/>
    <w:rsid w:val="007E602A"/>
    <w:rsid w:val="00854252"/>
    <w:rsid w:val="008D24D7"/>
    <w:rsid w:val="00975A81"/>
    <w:rsid w:val="00976409"/>
    <w:rsid w:val="00991EB3"/>
    <w:rsid w:val="009E3E5D"/>
    <w:rsid w:val="009F5FE4"/>
    <w:rsid w:val="00A06146"/>
    <w:rsid w:val="00A10DFA"/>
    <w:rsid w:val="00A11194"/>
    <w:rsid w:val="00AA4C4A"/>
    <w:rsid w:val="00AA6692"/>
    <w:rsid w:val="00AC4D3C"/>
    <w:rsid w:val="00BC0634"/>
    <w:rsid w:val="00C72D65"/>
    <w:rsid w:val="00CF32D3"/>
    <w:rsid w:val="00D021B7"/>
    <w:rsid w:val="00D155F5"/>
    <w:rsid w:val="00D46F5E"/>
    <w:rsid w:val="00DA0C2D"/>
    <w:rsid w:val="00DA73A2"/>
    <w:rsid w:val="00DB1EFF"/>
    <w:rsid w:val="00DB3099"/>
    <w:rsid w:val="00E043A4"/>
    <w:rsid w:val="00E53132"/>
    <w:rsid w:val="00E77AEA"/>
    <w:rsid w:val="00EC0AD5"/>
    <w:rsid w:val="00ED7BBF"/>
    <w:rsid w:val="00EE2969"/>
    <w:rsid w:val="00EE5F8D"/>
    <w:rsid w:val="00F81764"/>
    <w:rsid w:val="00FA166F"/>
    <w:rsid w:val="00FB0D4A"/>
    <w:rsid w:val="00FB7989"/>
    <w:rsid w:val="00FC6854"/>
    <w:rsid w:val="00FD61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F089"/>
  <w15:chartTrackingRefBased/>
  <w15:docId w15:val="{006D1D71-56DA-416C-B8B1-B49419D6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E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E5D"/>
  </w:style>
  <w:style w:type="paragraph" w:styleId="Footer">
    <w:name w:val="footer"/>
    <w:basedOn w:val="Normal"/>
    <w:link w:val="FooterChar"/>
    <w:uiPriority w:val="99"/>
    <w:unhideWhenUsed/>
    <w:rsid w:val="009E3E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E5D"/>
  </w:style>
  <w:style w:type="paragraph" w:styleId="BalloonText">
    <w:name w:val="Balloon Text"/>
    <w:basedOn w:val="Normal"/>
    <w:link w:val="BalloonTextChar"/>
    <w:uiPriority w:val="99"/>
    <w:semiHidden/>
    <w:unhideWhenUsed/>
    <w:rsid w:val="00EC0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220</Words>
  <Characters>1211</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 Consult Majed</dc:creator>
  <cp:keywords/>
  <dc:description/>
  <cp:lastModifiedBy>Hatem</cp:lastModifiedBy>
  <cp:revision>4</cp:revision>
  <cp:lastPrinted>2016-05-07T09:13:00Z</cp:lastPrinted>
  <dcterms:created xsi:type="dcterms:W3CDTF">2017-08-17T17:23:00Z</dcterms:created>
  <dcterms:modified xsi:type="dcterms:W3CDTF">2017-08-22T18:15:00Z</dcterms:modified>
</cp:coreProperties>
</file>