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21EBD" w:rsidP="00A22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221D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B</w:t>
            </w:r>
            <w:r w:rsidR="004306DB">
              <w:rPr>
                <w:sz w:val="28"/>
                <w:szCs w:val="28"/>
              </w:rPr>
              <w:t xml:space="preserve">eni </w:t>
            </w:r>
            <w:proofErr w:type="spellStart"/>
            <w:r w:rsidR="004306DB">
              <w:rPr>
                <w:sz w:val="28"/>
                <w:szCs w:val="28"/>
              </w:rPr>
              <w:t>khiar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4306DB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13/09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5425BC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21EBD" w:rsidRPr="009E3E5D" w:rsidRDefault="00B21EBD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A83F6C">
        <w:trPr>
          <w:trHeight w:val="43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5425BC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B21EBD" w:rsidRPr="009E3E5D" w:rsidRDefault="005425BC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860913" w:rsidRDefault="004306DB" w:rsidP="004306DB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chambre froide positive en terminal de cuisson</w:t>
            </w:r>
          </w:p>
          <w:p w:rsidR="004306DB" w:rsidRDefault="004306DB" w:rsidP="004306DB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Suite aux échanges de mail, aucune action n’a été </w:t>
            </w:r>
            <w:proofErr w:type="gramStart"/>
            <w:r>
              <w:rPr>
                <w:sz w:val="28"/>
                <w:szCs w:val="28"/>
              </w:rPr>
              <w:t>réalisé</w:t>
            </w:r>
            <w:proofErr w:type="gramEnd"/>
            <w:r>
              <w:rPr>
                <w:sz w:val="28"/>
                <w:szCs w:val="28"/>
              </w:rPr>
              <w:t xml:space="preserve"> concernant les résultats non conformes des analyses microbiologiques (aout 2017) de la glace et de l’eau de poste lave main poissonnerie.</w:t>
            </w:r>
          </w:p>
          <w:p w:rsidR="004306DB" w:rsidRPr="004306DB" w:rsidRDefault="004306DB" w:rsidP="004306DB">
            <w:pPr>
              <w:pStyle w:val="Paragraphedelis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résultats des analyses </w:t>
            </w:r>
            <w:r w:rsidR="002A1BE5">
              <w:rPr>
                <w:sz w:val="28"/>
                <w:szCs w:val="28"/>
              </w:rPr>
              <w:t xml:space="preserve">microbiologiques </w:t>
            </w:r>
            <w:r>
              <w:rPr>
                <w:sz w:val="28"/>
                <w:szCs w:val="28"/>
              </w:rPr>
              <w:t xml:space="preserve">du mois d’aout de la glace indiquent une augmentation de la flore bactérienne par rapport 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 xml:space="preserve"> ceux du mois d’avril 2017.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B21EBD" w:rsidRPr="004306DB" w:rsidRDefault="005425BC" w:rsidP="004306D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306DB">
              <w:rPr>
                <w:sz w:val="28"/>
                <w:szCs w:val="28"/>
              </w:rPr>
              <w:t xml:space="preserve">Présence de plusieurs mouches au niveau </w:t>
            </w:r>
            <w:r w:rsidR="004306DB" w:rsidRPr="004306DB">
              <w:rPr>
                <w:sz w:val="28"/>
                <w:szCs w:val="28"/>
              </w:rPr>
              <w:t xml:space="preserve">volailles </w:t>
            </w:r>
            <w:proofErr w:type="spellStart"/>
            <w:r w:rsidR="004306DB" w:rsidRPr="004306DB">
              <w:rPr>
                <w:sz w:val="28"/>
                <w:szCs w:val="28"/>
              </w:rPr>
              <w:t>trad</w:t>
            </w:r>
            <w:proofErr w:type="spellEnd"/>
            <w:r w:rsidR="004306DB" w:rsidRPr="004306DB">
              <w:rPr>
                <w:sz w:val="28"/>
                <w:szCs w:val="28"/>
              </w:rPr>
              <w:t>, fromages</w:t>
            </w:r>
            <w:r w:rsidRPr="004306DB">
              <w:rPr>
                <w:sz w:val="28"/>
                <w:szCs w:val="28"/>
              </w:rPr>
              <w:t xml:space="preserve"> et charcuterie</w:t>
            </w:r>
          </w:p>
          <w:p w:rsidR="004306DB" w:rsidRDefault="004306DB" w:rsidP="004306D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306DB">
              <w:rPr>
                <w:sz w:val="28"/>
                <w:szCs w:val="28"/>
              </w:rPr>
              <w:t>Manque d’enregistrement du contrôle à la réception des produits livrés par l’entrepôt (charcuterie, fromages, poissons)</w:t>
            </w:r>
          </w:p>
          <w:p w:rsidR="002A1BE5" w:rsidRPr="004306DB" w:rsidRDefault="002A1BE5" w:rsidP="004306D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Référentiel affiché dans tous les rayons c’est celui de 2015 ou 2016</w:t>
            </w:r>
          </w:p>
          <w:p w:rsidR="005425BC" w:rsidRPr="009E3E5D" w:rsidRDefault="005425BC" w:rsidP="004306DB">
            <w:pPr>
              <w:rPr>
                <w:sz w:val="28"/>
                <w:szCs w:val="28"/>
              </w:rPr>
            </w:pPr>
            <w:r w:rsidRPr="00A83F6C">
              <w:rPr>
                <w:b/>
                <w:bCs/>
                <w:sz w:val="28"/>
                <w:szCs w:val="28"/>
                <w:u w:val="single"/>
              </w:rPr>
              <w:t>PLS</w:t>
            </w:r>
            <w:r>
              <w:rPr>
                <w:sz w:val="28"/>
                <w:szCs w:val="28"/>
              </w:rPr>
              <w:t xml:space="preserve"> : présence de </w:t>
            </w:r>
            <w:r w:rsidR="004306DB">
              <w:rPr>
                <w:sz w:val="28"/>
                <w:szCs w:val="28"/>
              </w:rPr>
              <w:t>3 paquets de macédoine végétale surgelés</w:t>
            </w:r>
            <w:r>
              <w:rPr>
                <w:sz w:val="28"/>
                <w:szCs w:val="28"/>
              </w:rPr>
              <w:t xml:space="preserve"> non retirés du linéaire dont la DLC est </w:t>
            </w:r>
            <w:r w:rsidR="004306DB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/0</w:t>
            </w:r>
            <w:r w:rsidR="004306D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C1013F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3B" w:rsidRDefault="009A233B" w:rsidP="009E3E5D">
      <w:pPr>
        <w:spacing w:after="0" w:line="240" w:lineRule="auto"/>
      </w:pPr>
      <w:r>
        <w:separator/>
      </w:r>
    </w:p>
  </w:endnote>
  <w:endnote w:type="continuationSeparator" w:id="0">
    <w:p w:rsidR="009A233B" w:rsidRDefault="009A233B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3B" w:rsidRDefault="009A233B" w:rsidP="009E3E5D">
      <w:pPr>
        <w:spacing w:after="0" w:line="240" w:lineRule="auto"/>
      </w:pPr>
      <w:r>
        <w:separator/>
      </w:r>
    </w:p>
  </w:footnote>
  <w:footnote w:type="continuationSeparator" w:id="0">
    <w:p w:rsidR="009A233B" w:rsidRDefault="009A233B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25D02"/>
    <w:multiLevelType w:val="hybridMultilevel"/>
    <w:tmpl w:val="9CACFD38"/>
    <w:lvl w:ilvl="0" w:tplc="CD221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86022"/>
    <w:multiLevelType w:val="hybridMultilevel"/>
    <w:tmpl w:val="93B87128"/>
    <w:lvl w:ilvl="0" w:tplc="CD221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660C4"/>
    <w:rsid w:val="0008488C"/>
    <w:rsid w:val="00085D6B"/>
    <w:rsid w:val="000B23F3"/>
    <w:rsid w:val="000F0F16"/>
    <w:rsid w:val="000F3ADA"/>
    <w:rsid w:val="001039E2"/>
    <w:rsid w:val="00131794"/>
    <w:rsid w:val="00133532"/>
    <w:rsid w:val="00157C2C"/>
    <w:rsid w:val="002142D8"/>
    <w:rsid w:val="002235DE"/>
    <w:rsid w:val="002A1BE5"/>
    <w:rsid w:val="002B5F5A"/>
    <w:rsid w:val="00322573"/>
    <w:rsid w:val="003721C5"/>
    <w:rsid w:val="00384C18"/>
    <w:rsid w:val="00386841"/>
    <w:rsid w:val="00390FEF"/>
    <w:rsid w:val="003C4583"/>
    <w:rsid w:val="00401E47"/>
    <w:rsid w:val="004306DB"/>
    <w:rsid w:val="004822AB"/>
    <w:rsid w:val="004A1337"/>
    <w:rsid w:val="004E208F"/>
    <w:rsid w:val="0054024F"/>
    <w:rsid w:val="005425BC"/>
    <w:rsid w:val="00577A44"/>
    <w:rsid w:val="00585D6F"/>
    <w:rsid w:val="005F4A7A"/>
    <w:rsid w:val="00617C05"/>
    <w:rsid w:val="00701A6E"/>
    <w:rsid w:val="007E602A"/>
    <w:rsid w:val="00854252"/>
    <w:rsid w:val="00860913"/>
    <w:rsid w:val="008D24D7"/>
    <w:rsid w:val="00976409"/>
    <w:rsid w:val="009A233B"/>
    <w:rsid w:val="009E3E5D"/>
    <w:rsid w:val="009F5FE4"/>
    <w:rsid w:val="00A11194"/>
    <w:rsid w:val="00A221DC"/>
    <w:rsid w:val="00A83F6C"/>
    <w:rsid w:val="00AA4C4A"/>
    <w:rsid w:val="00AA6692"/>
    <w:rsid w:val="00AC4D3C"/>
    <w:rsid w:val="00B21EBD"/>
    <w:rsid w:val="00B412EF"/>
    <w:rsid w:val="00BC0634"/>
    <w:rsid w:val="00C1013F"/>
    <w:rsid w:val="00C72D65"/>
    <w:rsid w:val="00CF32D3"/>
    <w:rsid w:val="00CF5991"/>
    <w:rsid w:val="00D021B7"/>
    <w:rsid w:val="00D46F5E"/>
    <w:rsid w:val="00D62580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0A16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6DE23-02EA-4062-B714-07E168A7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2017-09-13T16:46:00Z</cp:lastPrinted>
  <dcterms:created xsi:type="dcterms:W3CDTF">2017-10-05T15:45:00Z</dcterms:created>
  <dcterms:modified xsi:type="dcterms:W3CDTF">2017-10-05T15:45:00Z</dcterms:modified>
</cp:coreProperties>
</file>